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г.Минусинск и прилегающие территории)</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252246400842024640100105440011084244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г Красноярск</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''КРАСНОЯРСКИЙ КРАЕВОЙ ПРОТИВОТУБЕРКУЛЕЗНЫЙ ДИСПАНСЕР № 1''</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Краевой бюджет</w:t>
      </w:r>
      <w:r w:rsidRPr="00365E56">
        <w:rPr>
          <w:rFonts w:ascii="Times New Roman" w:hAnsi="Times New Roman" w:cs="Times New Roman"/>
          <w:color w:val="000000" w:themeColor="text1"/>
          <w:sz w:val="22"/>
          <w:szCs w:val="22"/>
        </w:rPr>
        <w:t xml:space="preserve"> (Субсидии на выполнение государственного задания)</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3.1. Товар Получателю поставляется партиями в соответствии с условиями настоящего Контракта. Количество Товара в каждой партии определяется на основании Заявки Получателя на поставку Товара. Получатель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Получателем Заявки не допускается.</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Заявка направляется Получателем не позднее чем за __3_ рабочих дня до предполагаемой поставки Товара в пределах срока, установленного </w:t>
      </w:r>
      <w:r w:rsidRPr="00365E56">
        <w:rPr>
          <w:rFonts w:ascii="Times New Roman" w:hAnsi="Times New Roman" w:cs="Times New Roman"/>
          <w:sz w:val="22"/>
          <w:szCs w:val="22"/>
        </w:rPr>
        <w:t>пунктом 11.1</w:t>
      </w:r>
      <w:r w:rsidRPr="00365E56">
        <w:rPr>
          <w:rFonts w:ascii="Times New Roman" w:hAnsi="Times New Roman" w:cs="Times New Roman"/>
          <w:sz w:val="22"/>
          <w:szCs w:val="22"/>
        </w:rPr>
        <w:t xml:space="preserve"> настоящего Контракта. Заявка может быть направлена по факсу (при наличии), по электронной почте на адрес Поставщика, указанный в разделе XIV Контракта.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Поставка Товара по Заявкам осуществляется в течение ___3__  рабочих  дней со дня отправки Заявки Получателем.</w:t>
      </w:r>
    </w:p>
    <w:p w:rsidR="008E1D6B" w:rsidRPr="00365E56" w:rsidP="008E1D6B">
      <w:pPr>
        <w:jc w:val="both"/>
        <w:rPr>
          <w:rFonts w:ascii="Times New Roman" w:hAnsi="Times New Roman" w:cs="Times New Roman"/>
          <w:sz w:val="22"/>
          <w:szCs w:val="22"/>
        </w:rPr>
      </w:pPr>
      <w:r w:rsidRPr="00365E56">
        <w:rPr>
          <w:rFonts w:ascii="Times New Roman" w:hAnsi="Times New Roman" w:cs="Times New Roman"/>
          <w:sz w:val="22"/>
          <w:szCs w:val="22"/>
        </w:rPr>
        <w:t xml:space="preserve">          3.2. Поставка Товара по Заявке Поставщиком осуществляется по адресам поставки Товара, перечень которых указан в Приложение № 4 к настоящему Контракту, указанным в Заявках. Получатель в одной Заявке указывает только один адрес поставки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3.3. В день доставки Товара по адресу поставки Товара, указанному в соответствии с условиями настоящего Контракта Поставщик обязан передать Получателю подписанные со своей стороны товарную накладную по форме № ТОРГ-12 или универсальный передаточный документ (далее – УПД) в 2 (двух) экземплярах (по 1 (одному) экземпляру для каждой из Сторон).</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день доставки Товара Получатель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Заказчик вправе для проведения экспертизы Товара (результатов отдельного этапа исполнения Контракта) 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Выборочная проверка качества и безопасности Товара (результатов отдельного этапа исполнения Контракта) осуществляется в течение сроков, установленных настоящим Контрактом для приемки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 xml:space="preserve">При отсутствии претензий относительно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w:t>
      </w:r>
      <w:r w:rsidRPr="00365E56">
        <w:rPr>
          <w:rFonts w:ascii="Times New Roman" w:hAnsi="Times New Roman" w:cs="Times New Roman"/>
          <w:sz w:val="22"/>
          <w:szCs w:val="22"/>
        </w:rPr>
        <w:t>экспертизы, проведенной путем выборочной проверки качества и безопасности Товара, Заказчик подписывает акт сдачи-приемки, на основании которого Получатель подписывает товарную накладную по форме N ТОРГ-12 или УПД в течение 2 рабочих дней с момента доставки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567"/>
        <w:jc w:val="both"/>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DF7896" w:rsidRPr="00365E56" w:rsidP="00111CC7">
      <w:pPr>
        <w:ind w:firstLine="567"/>
        <w:jc w:val="both"/>
        <w:rPr>
          <w:rFonts w:ascii="Times New Roman" w:hAnsi="Times New Roman" w:cs="Times New Roman"/>
          <w:sz w:val="22"/>
          <w:szCs w:val="22"/>
        </w:rPr>
      </w:pPr>
      <w:r w:rsidRPr="00365E56">
        <w:rPr>
          <w:rFonts w:ascii="Times New Roman" w:hAnsi="Times New Roman" w:cs="Times New Roman"/>
          <w:sz w:val="22"/>
          <w:szCs w:val="22"/>
        </w:rPr>
        <w:t>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p>
    <w:p w:rsidR="008E1D6B" w:rsidRPr="00365E56" w:rsidP="008E1D6B">
      <w:pPr>
        <w:ind w:firstLine="709"/>
        <w:jc w:val="both"/>
        <w:outlineLvl w:val="2"/>
        <w:rPr>
          <w:rFonts w:ascii="Times New Roman" w:hAnsi="Times New Roman" w:cs="Times New Roman"/>
          <w:sz w:val="22"/>
          <w:szCs w:val="22"/>
        </w:rPr>
      </w:pP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3.4. Поставщик передает Заказчику документы в составе, определенном в настоящем пункте, в течение _3___ рабочих дней после поставки Товара Получателю.</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Состав документов:</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акт сдачи-приемки Товара в 2 (двух) экземплярах (по 1 (одному) экземпляру для каждой из Сторон), подписанный со стороны Поставщика;</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xml:space="preserve">- копии товарных накладных по </w:t>
      </w:r>
      <w:r w:rsidRPr="00365E56">
        <w:t>форме N ТОРГ-12</w:t>
      </w:r>
      <w:r w:rsidRPr="00365E56">
        <w:rPr>
          <w:rFonts w:ascii="Times New Roman" w:hAnsi="Times New Roman" w:cs="Times New Roman"/>
          <w:sz w:val="22"/>
          <w:szCs w:val="22"/>
        </w:rPr>
        <w:t xml:space="preserve"> или УПД, подписанные Получателями и заверенные печатью Поставщика (при наличии печати);</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xml:space="preserve">- </w:t>
      </w:r>
      <w:r w:rsidRPr="00365E56">
        <w:rPr>
          <w:rFonts w:ascii="Times New Roman" w:hAnsi="Times New Roman" w:cs="Times New Roman"/>
          <w:color w:val="000000" w:themeColor="text1"/>
          <w:sz w:val="22"/>
          <w:szCs w:val="22"/>
        </w:rPr>
        <w:t xml:space="preserve">счета и (или) </w:t>
      </w:r>
      <w:r w:rsidRPr="00365E56">
        <w:rPr>
          <w:rFonts w:ascii="Times New Roman" w:hAnsi="Times New Roman" w:cs="Times New Roman"/>
          <w:sz w:val="22"/>
          <w:szCs w:val="22"/>
        </w:rPr>
        <w:t>счета-фактуры.</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xml:space="preserve">Подписание со стороны Заказчика документа о приемке </w:t>
      </w:r>
      <w:r w:rsidRPr="00365E56">
        <w:rPr>
          <w:rFonts w:ascii="Times New Roman" w:eastAsia="Calibri" w:hAnsi="Times New Roman" w:cs="Times New Roman"/>
          <w:color w:val="000000"/>
          <w:sz w:val="22"/>
          <w:szCs w:val="22"/>
          <w:shd w:val="clear" w:color="auto" w:fill="FFFFFF"/>
          <w:lang w:eastAsia="en-US"/>
        </w:rPr>
        <w:t>в единой информационной системе в сфере закупок</w:t>
      </w:r>
      <w:r w:rsidRPr="00365E56">
        <w:rPr>
          <w:rFonts w:ascii="Times New Roman" w:hAnsi="Times New Roman" w:cs="Times New Roman"/>
          <w:sz w:val="22"/>
          <w:szCs w:val="22"/>
        </w:rPr>
        <w:t xml:space="preserve"> подтверждает исполнение обязательств Поставщика, предусмотренных настоящим Контрактом.</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3.5. Срок поставки Товара: </w:t>
      </w:r>
      <w:r w:rsidRPr="00365E56">
        <w:rPr>
          <w:rFonts w:ascii="Times New Roman" w:hAnsi="Times New Roman"/>
          <w:color w:val="000000" w:themeColor="text1"/>
          <w:sz w:val="22"/>
          <w:szCs w:val="22"/>
        </w:rPr>
        <w:t>с 01.01.2026 г</w:t>
      </w:r>
      <w:r w:rsidRPr="00365E56">
        <w:rPr>
          <w:rFonts w:ascii="Times New Roman" w:hAnsi="Times New Roman"/>
          <w:color w:val="000000" w:themeColor="text1"/>
          <w:sz w:val="22"/>
          <w:szCs w:val="22"/>
        </w:rPr>
        <w:t>. по 31.12.2026 г.</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периодичность поставки: </w:t>
      </w:r>
      <w:r w:rsidRPr="00365E56">
        <w:rPr>
          <w:rFonts w:ascii="Times New Roman" w:hAnsi="Times New Roman"/>
          <w:color w:val="000000" w:themeColor="text1"/>
          <w:sz w:val="22"/>
          <w:szCs w:val="22"/>
        </w:rPr>
        <w:t>2 (два)</w:t>
      </w:r>
      <w:r w:rsidRPr="00365E56">
        <w:rPr>
          <w:rFonts w:ascii="Times New Roman" w:hAnsi="Times New Roman"/>
          <w:color w:val="000000" w:themeColor="text1"/>
          <w:sz w:val="22"/>
          <w:szCs w:val="22"/>
        </w:rPr>
        <w:t xml:space="preserve"> раза в месяц, по заявке. Поставщик производит поставку Товара в рабочие часы Заказчика с 08 часов 00 минут до 15 часов 00 минут по местному времени.</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по каждому адресу, указанному в Перечне (Приложении № 4 к настоящему Контракту).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КГБУЗ ККПТД</w:t>
      </w:r>
      <w:r w:rsidRPr="00365E56">
        <w:rPr>
          <w:rFonts w:ascii="Times New Roman" w:hAnsi="Times New Roman" w:cs="Times New Roman"/>
          <w:sz w:val="22"/>
          <w:szCs w:val="22"/>
        </w:rPr>
        <w:t xml:space="preserve"> № 1 – Красноярский край, Минусинский район, п. Озеро Тагарское, ул. Юбилейная, 2.</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КГБУЗ ККПТД</w:t>
      </w:r>
      <w:r w:rsidRPr="00365E56">
        <w:rPr>
          <w:rFonts w:ascii="Times New Roman" w:hAnsi="Times New Roman" w:cs="Times New Roman"/>
          <w:sz w:val="22"/>
          <w:szCs w:val="22"/>
        </w:rPr>
        <w:t xml:space="preserve"> № 1 – Красноярский край, Курагинский район, г. Артемовск, ул. Фестивальная, 17;</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3.6 Право собственности на Товар, риск утраты, случайной гибели или повреждения Товара переходят от Поставщика к Получателю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3.7. Поставщик обязан одновременно с передачей Товара передать Получателю относящиеся к нему документы, предусмотренные законодательством Российской Федерации, производителем Товара и настоящим Контрактом.</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3.8. Сдача и приемка Товара осуществляются уполномоченными представителями Сторон.</w:t>
      </w:r>
    </w:p>
    <w:p w:rsidR="008E1D6B" w:rsidRPr="00365E56" w:rsidP="008E1D6B">
      <w:pPr>
        <w:ind w:firstLine="709"/>
        <w:jc w:val="both"/>
        <w:rPr>
          <w:rFonts w:ascii="Times New Roman" w:hAnsi="Times New Roman" w:cs="Times New Roman"/>
          <w:sz w:val="24"/>
          <w:szCs w:val="24"/>
        </w:rPr>
      </w:pP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2464008420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246401001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76192А00721</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03224643040000001900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Приложение № 4 – Перечень адресов поставки;</w:t>
      </w:r>
    </w:p>
    <w:p w:rsidRPr="00365E56">
      <w:pPr>
        <w:ind w:firstLine="708"/>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4"/>
          <w:szCs w:val="24"/>
        </w:rPr>
        <w:t>Приложение № 5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''КРАСНОЯРСКИЙ КРАЕВОЙ ПРОТИВОТУБЕРКУЛЕЗНЫЙ ДИСПАНСЕР № 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660079, Красноярский край, Красноярск г, 60 лет Октября ул, 60 лет Октября ул, ЗД. 26</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7-391-2906802-1403</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cert@kkptd1.ru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2464008420</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246401001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1022402298731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01913263</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r w:rsidRPr="00365E56">
              <w:rPr>
                <w:rFonts w:ascii="Times New Roman" w:hAnsi="Times New Roman"/>
                <w:color w:val="000000" w:themeColor="text1"/>
                <w:sz w:val="24"/>
                <w:szCs w:val="24"/>
              </w:rPr>
              <w:t>71192А00721</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03224643040000001900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sz w:val="22"/>
          <w:szCs w:val="22"/>
        </w:rPr>
        <w:t>Приложение N 4</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 г. N ___</w:t>
      </w:r>
    </w:p>
    <w:p w:rsidR="00751588" w:rsidRPr="00365E56">
      <w:pPr>
        <w:ind w:firstLine="709"/>
        <w:jc w:val="right"/>
        <w:rPr>
          <w:rFonts w:ascii="Times New Roman" w:hAnsi="Times New Roman" w:cs="Times New Roman"/>
          <w:sz w:val="22"/>
          <w:szCs w:val="22"/>
        </w:rPr>
      </w:pPr>
    </w:p>
    <w:p w:rsidR="00751588" w:rsidRPr="00365E56">
      <w:pPr>
        <w:tabs>
          <w:tab w:val="left" w:pos="6666"/>
          <w:tab w:val="right" w:pos="9637"/>
        </w:tabs>
        <w:ind w:firstLine="709"/>
        <w:jc w:val="center"/>
        <w:outlineLvl w:val="1"/>
        <w:rPr>
          <w:rFonts w:ascii="Times New Roman" w:hAnsi="Times New Roman" w:cs="Times New Roman"/>
          <w:b/>
          <w:sz w:val="22"/>
          <w:szCs w:val="22"/>
        </w:rPr>
      </w:pPr>
      <w:r w:rsidRPr="00365E56">
        <w:rPr>
          <w:rFonts w:ascii="Times New Roman" w:hAnsi="Times New Roman" w:cs="Times New Roman"/>
          <w:b/>
          <w:sz w:val="22"/>
          <w:szCs w:val="22"/>
        </w:rPr>
        <w:t>ПЕРЕЧЕНЬ АДРЕСОВ ПОСТАВКИ ТОВАРА</w:t>
      </w:r>
    </w:p>
    <w:p w:rsidR="00751588" w:rsidRPr="00365E56">
      <w:pPr>
        <w:tabs>
          <w:tab w:val="left" w:pos="6666"/>
          <w:tab w:val="right" w:pos="9637"/>
        </w:tabs>
        <w:ind w:firstLine="709"/>
        <w:jc w:val="center"/>
        <w:outlineLvl w:val="1"/>
        <w:rPr>
          <w:rFonts w:ascii="Times New Roman" w:hAnsi="Times New Roman" w:cs="Times New Roman"/>
          <w:b/>
          <w:sz w:val="22"/>
          <w:szCs w:val="22"/>
        </w:rPr>
      </w:pPr>
    </w:p>
    <w:tbl>
      <w:tblPr>
        <w:tblW w:w="11297" w:type="dxa"/>
        <w:tblInd w:w="-776" w:type="dxa"/>
        <w:tblLayout w:type="fixed"/>
        <w:tblCellMar>
          <w:left w:w="0" w:type="dxa"/>
          <w:right w:w="0" w:type="dxa"/>
        </w:tblCellMar>
        <w:tblLook w:val="04A0"/>
      </w:tblPr>
      <w:tblGrid>
        <w:gridCol w:w="793"/>
        <w:gridCol w:w="2017"/>
        <w:gridCol w:w="1162"/>
        <w:gridCol w:w="1201"/>
        <w:gridCol w:w="966"/>
        <w:gridCol w:w="1397"/>
        <w:gridCol w:w="2019"/>
        <w:gridCol w:w="111"/>
        <w:gridCol w:w="953"/>
        <w:gridCol w:w="678"/>
      </w:tblGrid>
      <w:tr>
        <w:tblPrEx>
          <w:tblW w:w="11297" w:type="dxa"/>
          <w:tblInd w:w="-776" w:type="dxa"/>
          <w:tblLayout w:type="fixed"/>
          <w:tblCellMar>
            <w:left w:w="0" w:type="dxa"/>
            <w:right w:w="0" w:type="dxa"/>
          </w:tblCellMar>
          <w:tblLook w:val="04A0"/>
        </w:tblPrEx>
        <w:trPr>
          <w:trHeight w:val="260"/>
        </w:trPr>
        <w:tc>
          <w:tcPr>
            <w:tcW w:w="793" w:type="dxa"/>
            <w:vMerge w:val="restart"/>
            <w:tcBorders>
              <w:top w:val="nil"/>
              <w:left w:val="nil"/>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Адрес поставки товара</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Наименование Товара</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Единицы измерения</w:t>
            </w:r>
          </w:p>
        </w:tc>
        <w:tc>
          <w:tcPr>
            <w:tcW w:w="213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Количество товара</w:t>
            </w:r>
          </w:p>
        </w:tc>
        <w:tc>
          <w:tcPr>
            <w:tcW w:w="1631" w:type="dxa"/>
            <w:gridSpan w:val="2"/>
            <w:vMerge w:val="restart"/>
            <w:tcBorders>
              <w:top w:val="nil"/>
              <w:left w:val="single" w:sz="4" w:space="0" w:color="auto"/>
              <w:right w:val="nil"/>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p>
        </w:tc>
      </w:tr>
      <w:tr>
        <w:tblPrEx>
          <w:tblW w:w="11297" w:type="dxa"/>
          <w:tblInd w:w="-776" w:type="dxa"/>
          <w:tblLayout w:type="fixed"/>
          <w:tblCellMar>
            <w:left w:w="0" w:type="dxa"/>
            <w:right w:w="0" w:type="dxa"/>
          </w:tblCellMar>
          <w:tblLook w:val="04A0"/>
        </w:tblPrEx>
        <w:trPr>
          <w:trHeight w:val="260"/>
        </w:trPr>
        <w:tc>
          <w:tcPr>
            <w:tcW w:w="793" w:type="dxa"/>
            <w:vMerge/>
            <w:tcBorders>
              <w:left w:val="nil"/>
              <w:bottom w:val="nil"/>
              <w:right w:val="single" w:sz="4" w:space="0" w:color="auto"/>
            </w:tcBorders>
            <w:shd w:val="clear" w:color="auto" w:fill="auto"/>
            <w:tcMar>
              <w:top w:w="0" w:type="dxa"/>
              <w:left w:w="108" w:type="dxa"/>
              <w:bottom w:w="0" w:type="dxa"/>
              <w:right w:w="108" w:type="dxa"/>
            </w:tcMar>
            <w:vAlign w:val="center"/>
          </w:tcPr>
          <w:p w:rsidR="00751588" w:rsidRPr="00365E56">
            <w:pPr>
              <w:jc w:val="center"/>
            </w:pPr>
          </w:p>
        </w:tc>
        <w:tc>
          <w:tcPr>
            <w:tcW w:w="201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1</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2</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3</w:t>
            </w:r>
          </w:p>
        </w:tc>
        <w:tc>
          <w:tcPr>
            <w:tcW w:w="213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4</w:t>
            </w:r>
          </w:p>
        </w:tc>
        <w:tc>
          <w:tcPr>
            <w:tcW w:w="1631" w:type="dxa"/>
            <w:gridSpan w:val="2"/>
            <w:vMerge/>
            <w:tcBorders>
              <w:left w:val="single" w:sz="4" w:space="0" w:color="auto"/>
              <w:bottom w:val="nil"/>
              <w:right w:val="nil"/>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p>
        </w:tc>
      </w:tr>
      <w:tr>
        <w:tblPrEx>
          <w:tblW w:w="11297" w:type="dxa"/>
          <w:tblInd w:w="-776" w:type="dxa"/>
          <w:tblLayout w:type="fixed"/>
          <w:tblCellMar>
            <w:left w:w="0" w:type="dxa"/>
            <w:right w:w="0" w:type="dxa"/>
          </w:tblCellMar>
          <w:tblLook w:val="04A0"/>
        </w:tblPrEx>
        <w:trPr>
          <w:trHeight w:val="90"/>
        </w:trPr>
        <w:tc>
          <w:tcPr>
            <w:tcW w:w="793" w:type="dxa"/>
            <w:tcBorders>
              <w:top w:val="nil"/>
              <w:left w:val="nil"/>
              <w:bottom w:val="nil"/>
              <w:right w:val="single" w:sz="4" w:space="0" w:color="auto"/>
            </w:tcBorders>
            <w:tcMar>
              <w:top w:w="0" w:type="dxa"/>
              <w:left w:w="108" w:type="dxa"/>
              <w:bottom w:w="0" w:type="dxa"/>
              <w:right w:w="108" w:type="dxa"/>
            </w:tcMar>
          </w:tcPr>
          <w:p w:rsidR="00751588" w:rsidRPr="00365E56">
            <w:pPr>
              <w:jc w:val="both"/>
              <w:rPr>
                <w:rFonts w:ascii="Times New Roman" w:hAnsi="Times New Roman" w:cs="Times New Roman"/>
                <w:sz w:val="10"/>
                <w:szCs w:val="10"/>
              </w:rPr>
            </w:pPr>
          </w:p>
          <w:p w:rsidR="00751588" w:rsidRPr="00365E56">
            <w:pPr>
              <w:spacing w:line="240" w:lineRule="exact"/>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tcPr>
          <w:p w:rsidR="00751588" w:rsidRPr="00365E56">
            <w:pPr>
              <w:spacing w:line="240" w:lineRule="exact"/>
              <w:jc w:val="center"/>
              <w:rPr>
                <w:rFonts w:ascii="Times New Roman" w:hAnsi="Times New Roman" w:cs="Times New Roman"/>
                <w:sz w:val="22"/>
                <w:szCs w:val="22"/>
              </w:rPr>
            </w:pPr>
          </w:p>
          <w:p w:rsidR="00751588" w:rsidRPr="00365E56">
            <w:pPr>
              <w:spacing w:line="240" w:lineRule="exact"/>
              <w:jc w:val="center"/>
              <w:rPr>
                <w:rFonts w:ascii="Times New Roman" w:hAnsi="Times New Roman" w:cs="Times New Roman"/>
                <w:sz w:val="22"/>
                <w:szCs w:val="22"/>
              </w:rPr>
            </w:pPr>
            <w:r w:rsidRPr="00365E56">
              <w:rPr>
                <w:rFonts w:ascii="Times New Roman" w:hAnsi="Times New Roman" w:cs="Times New Roman"/>
                <w:sz w:val="22"/>
                <w:szCs w:val="22"/>
              </w:rPr>
              <w:t>КГБУЗ ККПТД</w:t>
            </w:r>
            <w:r w:rsidRPr="00365E56">
              <w:rPr>
                <w:rFonts w:ascii="Times New Roman" w:hAnsi="Times New Roman" w:cs="Times New Roman"/>
                <w:sz w:val="22"/>
                <w:szCs w:val="22"/>
              </w:rPr>
              <w:t xml:space="preserve"> № 1 – Красноярский край, Минусинский район, п. Озеро Тагарское, ул. Юбилейная, 2.</w:t>
            </w:r>
          </w:p>
          <w:p w:rsidR="00751588" w:rsidRPr="00365E56">
            <w:pPr>
              <w:spacing w:line="240" w:lineRule="exact"/>
              <w:jc w:val="center"/>
              <w:rPr>
                <w:rFonts w:ascii="Times New Roman" w:hAnsi="Times New Roman" w:cs="Times New Roman"/>
                <w:sz w:val="22"/>
                <w:szCs w:val="22"/>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1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1631" w:type="dxa"/>
            <w:gridSpan w:val="2"/>
            <w:tcBorders>
              <w:top w:val="nil"/>
              <w:left w:val="single" w:sz="4" w:space="0" w:color="auto"/>
              <w:bottom w:val="nil"/>
              <w:right w:val="nil"/>
            </w:tcBorders>
            <w:tcMar>
              <w:top w:w="0" w:type="dxa"/>
              <w:left w:w="108" w:type="dxa"/>
              <w:bottom w:w="0" w:type="dxa"/>
              <w:right w:w="108" w:type="dxa"/>
            </w:tcMar>
          </w:tcPr>
          <w:p w:rsidR="00751588" w:rsidRPr="00365E56">
            <w:pPr>
              <w:spacing w:after="200" w:line="276" w:lineRule="auto"/>
              <w:contextualSpacing/>
              <w:jc w:val="both"/>
              <w:rPr>
                <w:rFonts w:ascii="Times New Roman" w:hAnsi="Times New Roman" w:cs="Times New Roman"/>
                <w:color w:val="000000" w:themeColor="text1"/>
                <w:sz w:val="10"/>
                <w:szCs w:val="10"/>
              </w:rPr>
            </w:pPr>
          </w:p>
          <w:p w:rsidR="00751588" w:rsidRPr="00365E56">
            <w:pPr>
              <w:spacing w:line="240" w:lineRule="exact"/>
              <w:jc w:val="center"/>
              <w:rPr>
                <w:rFonts w:ascii="Times New Roman" w:hAnsi="Times New Roman" w:cs="Times New Roman"/>
                <w:sz w:val="24"/>
                <w:szCs w:val="24"/>
              </w:rPr>
            </w:pPr>
          </w:p>
        </w:tc>
      </w:tr>
      <w:tr>
        <w:tblPrEx>
          <w:tblW w:w="11297" w:type="dxa"/>
          <w:tblInd w:w="-776" w:type="dxa"/>
          <w:tblLayout w:type="fixed"/>
          <w:tblCellMar>
            <w:left w:w="0" w:type="dxa"/>
            <w:right w:w="0" w:type="dxa"/>
          </w:tblCellMar>
          <w:tblLook w:val="04A0"/>
        </w:tblPrEx>
        <w:trPr>
          <w:trHeight w:val="90"/>
        </w:trPr>
        <w:tc>
          <w:tcPr>
            <w:tcW w:w="793" w:type="dxa"/>
            <w:tcBorders>
              <w:top w:val="nil"/>
              <w:left w:val="nil"/>
              <w:bottom w:val="nil"/>
              <w:right w:val="single" w:sz="4" w:space="0" w:color="auto"/>
            </w:tcBorders>
            <w:tcMar>
              <w:top w:w="0" w:type="dxa"/>
              <w:left w:w="108" w:type="dxa"/>
              <w:bottom w:w="0" w:type="dxa"/>
              <w:right w:w="108" w:type="dxa"/>
            </w:tcMar>
          </w:tcPr>
          <w:p w:rsidR="00751588" w:rsidRPr="00365E56">
            <w:pPr>
              <w:jc w:val="both"/>
              <w:rPr>
                <w:rFonts w:ascii="Times New Roman" w:hAnsi="Times New Roman" w:cs="Times New Roman"/>
                <w:sz w:val="10"/>
                <w:szCs w:val="10"/>
              </w:rPr>
            </w:pPr>
          </w:p>
          <w:p w:rsidR="00751588" w:rsidRPr="00365E56">
            <w:pPr>
              <w:spacing w:line="240" w:lineRule="exact"/>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tcPr>
          <w:p w:rsidR="00751588" w:rsidRPr="00365E56">
            <w:pPr>
              <w:spacing w:line="240" w:lineRule="exact"/>
              <w:jc w:val="center"/>
              <w:rPr>
                <w:rFonts w:ascii="Times New Roman" w:hAnsi="Times New Roman" w:cs="Times New Roman"/>
                <w:sz w:val="22"/>
                <w:szCs w:val="22"/>
              </w:rPr>
            </w:pPr>
          </w:p>
          <w:p w:rsidR="00751588" w:rsidRPr="00365E56">
            <w:pPr>
              <w:spacing w:line="240" w:lineRule="exact"/>
              <w:jc w:val="center"/>
              <w:rPr>
                <w:rFonts w:ascii="Times New Roman" w:hAnsi="Times New Roman" w:cs="Times New Roman"/>
                <w:sz w:val="22"/>
                <w:szCs w:val="22"/>
              </w:rPr>
            </w:pPr>
            <w:r w:rsidRPr="00365E56">
              <w:rPr>
                <w:rFonts w:ascii="Times New Roman" w:hAnsi="Times New Roman" w:cs="Times New Roman"/>
                <w:sz w:val="22"/>
                <w:szCs w:val="22"/>
              </w:rPr>
              <w:t>КГБУЗ ККПТД</w:t>
            </w:r>
            <w:r w:rsidRPr="00365E56">
              <w:rPr>
                <w:rFonts w:ascii="Times New Roman" w:hAnsi="Times New Roman" w:cs="Times New Roman"/>
                <w:sz w:val="22"/>
                <w:szCs w:val="22"/>
              </w:rPr>
              <w:t xml:space="preserve"> № 1 – Красноярский край, Курагинский район, г. Артемовск, ул. Фестивальная, 17;</w:t>
            </w:r>
          </w:p>
          <w:p w:rsidR="00751588" w:rsidRPr="00365E56">
            <w:pPr>
              <w:spacing w:line="240" w:lineRule="exact"/>
              <w:jc w:val="center"/>
              <w:rPr>
                <w:rFonts w:ascii="Times New Roman" w:hAnsi="Times New Roman" w:cs="Times New Roman"/>
                <w:sz w:val="22"/>
                <w:szCs w:val="22"/>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1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1631" w:type="dxa"/>
            <w:gridSpan w:val="2"/>
            <w:tcBorders>
              <w:top w:val="nil"/>
              <w:left w:val="single" w:sz="4" w:space="0" w:color="auto"/>
              <w:bottom w:val="nil"/>
              <w:right w:val="nil"/>
            </w:tcBorders>
            <w:tcMar>
              <w:top w:w="0" w:type="dxa"/>
              <w:left w:w="108" w:type="dxa"/>
              <w:bottom w:w="0" w:type="dxa"/>
              <w:right w:w="108" w:type="dxa"/>
            </w:tcMar>
          </w:tcPr>
          <w:p w:rsidR="00751588" w:rsidRPr="00365E56">
            <w:pPr>
              <w:spacing w:after="200" w:line="276" w:lineRule="auto"/>
              <w:contextualSpacing/>
              <w:jc w:val="both"/>
              <w:rPr>
                <w:rFonts w:ascii="Times New Roman" w:hAnsi="Times New Roman" w:cs="Times New Roman"/>
                <w:color w:val="000000" w:themeColor="text1"/>
                <w:sz w:val="10"/>
                <w:szCs w:val="10"/>
              </w:rPr>
            </w:pPr>
          </w:p>
          <w:p w:rsidR="00751588" w:rsidRPr="00365E56">
            <w:pPr>
              <w:spacing w:line="240" w:lineRule="exact"/>
              <w:jc w:val="center"/>
              <w:rPr>
                <w:rFonts w:ascii="Times New Roman" w:hAnsi="Times New Roman" w:cs="Times New Roman"/>
                <w:sz w:val="24"/>
                <w:szCs w:val="24"/>
              </w:rPr>
            </w:pPr>
          </w:p>
        </w:tc>
      </w:tr>
      <w:tr>
        <w:tblPrEx>
          <w:tblW w:w="11297" w:type="dxa"/>
          <w:tblInd w:w="-776" w:type="dxa"/>
          <w:tblLayout w:type="fixed"/>
          <w:tblCellMar>
            <w:top w:w="102" w:type="dxa"/>
            <w:left w:w="62" w:type="dxa"/>
            <w:bottom w:w="102" w:type="dxa"/>
            <w:right w:w="62" w:type="dxa"/>
          </w:tblCellMar>
          <w:tblLook w:val="04A0"/>
        </w:tblPrEx>
        <w:trPr>
          <w:gridAfter w:val="3"/>
          <w:wAfter w:w="1742" w:type="dxa"/>
          <w:trHeight w:val="638"/>
        </w:trPr>
        <w:tc>
          <w:tcPr>
            <w:tcW w:w="3972" w:type="dxa"/>
            <w:gridSpan w:val="3"/>
            <w:vAlign w:val="bottom"/>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Подпись:</w:t>
            </w:r>
          </w:p>
        </w:tc>
        <w:tc>
          <w:tcPr>
            <w:tcW w:w="2167" w:type="dxa"/>
            <w:gridSpan w:val="2"/>
          </w:tcPr>
          <w:p w:rsidR="00751588" w:rsidRPr="00365E56">
            <w:pPr>
              <w:ind w:firstLine="709"/>
              <w:rPr>
                <w:rFonts w:ascii="Times New Roman" w:hAnsi="Times New Roman" w:cs="Times New Roman"/>
                <w:sz w:val="22"/>
                <w:szCs w:val="22"/>
              </w:rPr>
            </w:pPr>
          </w:p>
        </w:tc>
        <w:tc>
          <w:tcPr>
            <w:tcW w:w="3416" w:type="dxa"/>
            <w:gridSpan w:val="2"/>
          </w:tcPr>
          <w:p w:rsidR="00751588" w:rsidRPr="00365E56">
            <w:pPr>
              <w:ind w:firstLine="709"/>
              <w:rPr>
                <w:rFonts w:ascii="Times New Roman" w:hAnsi="Times New Roman" w:cs="Times New Roman"/>
                <w:sz w:val="22"/>
                <w:szCs w:val="22"/>
              </w:rPr>
            </w:pPr>
          </w:p>
        </w:tc>
      </w:tr>
      <w:tr>
        <w:tblPrEx>
          <w:tblW w:w="11297" w:type="dxa"/>
          <w:tblInd w:w="-776" w:type="dxa"/>
          <w:tblLayout w:type="fixed"/>
          <w:tblCellMar>
            <w:top w:w="102" w:type="dxa"/>
            <w:left w:w="62" w:type="dxa"/>
            <w:bottom w:w="102" w:type="dxa"/>
            <w:right w:w="62" w:type="dxa"/>
          </w:tblCellMar>
          <w:tblLook w:val="04A0"/>
        </w:tblPrEx>
        <w:trPr>
          <w:gridAfter w:val="1"/>
          <w:wAfter w:w="678" w:type="dxa"/>
          <w:trHeight w:val="638"/>
        </w:trPr>
        <w:tc>
          <w:tcPr>
            <w:tcW w:w="10619" w:type="dxa"/>
            <w:gridSpan w:val="9"/>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От Заказчика:                                                         От Поставщика:</w:t>
            </w:r>
          </w:p>
        </w:tc>
      </w:tr>
    </w:tbl>
    <w:p w:rsidR="00751588" w:rsidRPr="00365E56">
      <w:pPr>
        <w:tabs>
          <w:tab w:val="left" w:pos="6666"/>
          <w:tab w:val="right" w:pos="9637"/>
        </w:tabs>
        <w:ind w:firstLine="709"/>
        <w:jc w:val="center"/>
        <w:outlineLvl w:val="1"/>
        <w:rPr>
          <w:rFonts w:ascii="Times New Roman" w:hAnsi="Times New Roman" w:cs="Times New Roman"/>
          <w:b/>
          <w:sz w:val="22"/>
          <w:szCs w:val="22"/>
        </w:rPr>
      </w:pPr>
    </w:p>
    <w:tbl>
      <w:tblPr>
        <w:tblW w:w="8468" w:type="dxa"/>
        <w:tblLayout w:type="fixed"/>
        <w:tblCellMar>
          <w:top w:w="102" w:type="dxa"/>
          <w:left w:w="62" w:type="dxa"/>
          <w:bottom w:w="102" w:type="dxa"/>
          <w:right w:w="62" w:type="dxa"/>
        </w:tblCellMar>
        <w:tblLook w:val="04A0"/>
      </w:tblPr>
      <w:tblGrid>
        <w:gridCol w:w="2653"/>
        <w:gridCol w:w="1896"/>
        <w:gridCol w:w="2989"/>
        <w:gridCol w:w="930"/>
      </w:tblGrid>
      <w:tr>
        <w:tblPrEx>
          <w:tblW w:w="8468" w:type="dxa"/>
          <w:tblLayout w:type="fixed"/>
          <w:tblCellMar>
            <w:top w:w="102" w:type="dxa"/>
            <w:left w:w="62" w:type="dxa"/>
            <w:bottom w:w="102" w:type="dxa"/>
            <w:right w:w="62" w:type="dxa"/>
          </w:tblCellMar>
          <w:tblLook w:val="04A0"/>
        </w:tblPrEx>
        <w:trPr>
          <w:gridAfter w:val="1"/>
          <w:wAfter w:w="930" w:type="dxa"/>
          <w:trHeight w:val="204"/>
        </w:trPr>
        <w:tc>
          <w:tcPr>
            <w:tcW w:w="2653" w:type="dxa"/>
            <w:vAlign w:val="bottom"/>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Подпись:</w:t>
            </w:r>
          </w:p>
        </w:tc>
        <w:tc>
          <w:tcPr>
            <w:tcW w:w="1896" w:type="dxa"/>
          </w:tcPr>
          <w:p w:rsidR="00751588" w:rsidRPr="00365E56">
            <w:pPr>
              <w:ind w:firstLine="709"/>
              <w:rPr>
                <w:rFonts w:ascii="Times New Roman" w:hAnsi="Times New Roman" w:cs="Times New Roman"/>
                <w:sz w:val="22"/>
                <w:szCs w:val="22"/>
              </w:rPr>
            </w:pPr>
          </w:p>
        </w:tc>
        <w:tc>
          <w:tcPr>
            <w:tcW w:w="2989" w:type="dxa"/>
          </w:tcPr>
          <w:p w:rsidR="00751588" w:rsidRPr="00365E56">
            <w:pPr>
              <w:ind w:firstLine="709"/>
              <w:rPr>
                <w:rFonts w:ascii="Times New Roman" w:hAnsi="Times New Roman" w:cs="Times New Roman"/>
                <w:sz w:val="22"/>
                <w:szCs w:val="22"/>
              </w:rPr>
            </w:pPr>
          </w:p>
        </w:tc>
      </w:tr>
      <w:tr>
        <w:tblPrEx>
          <w:tblW w:w="8468" w:type="dxa"/>
          <w:tblLayout w:type="fixed"/>
          <w:tblCellMar>
            <w:top w:w="102" w:type="dxa"/>
            <w:left w:w="62" w:type="dxa"/>
            <w:bottom w:w="102" w:type="dxa"/>
            <w:right w:w="62" w:type="dxa"/>
          </w:tblCellMar>
          <w:tblLook w:val="04A0"/>
        </w:tblPrEx>
        <w:trPr>
          <w:trHeight w:val="190"/>
        </w:trPr>
        <w:tc>
          <w:tcPr>
            <w:tcW w:w="8468" w:type="dxa"/>
            <w:gridSpan w:val="4"/>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От Заказчика:                                                         От Поставщика:</w:t>
            </w:r>
          </w:p>
        </w:tc>
      </w:tr>
    </w:tbl>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spacing w:after="200" w:line="276" w:lineRule="auto"/>
        <w:contextualSpacing/>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5</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left="720"/>
        <w:jc w:val="both"/>
        <w:rPr>
          <w:b/>
          <w:sz w:val="22"/>
          <w:szCs w:val="22"/>
        </w:rPr>
      </w:pPr>
      <w:r w:rsidRPr="00365E56">
        <w:rPr>
          <w:b/>
          <w:sz w:val="22"/>
          <w:szCs w:val="22"/>
        </w:rPr>
        <w:t>Введение</w:t>
      </w:r>
    </w:p>
    <w:p w:rsidR="00751588" w:rsidRPr="00365E56">
      <w:pPr>
        <w:pStyle w:val="ConsPlusNormal"/>
        <w:ind w:firstLine="709"/>
        <w:jc w:val="both"/>
        <w:rPr>
          <w:sz w:val="22"/>
          <w:szCs w:val="22"/>
        </w:rPr>
      </w:pPr>
    </w:p>
    <w:p w:rsidR="00751588" w:rsidRPr="00365E56">
      <w:pPr>
        <w:pStyle w:val="ConsPlusNormal"/>
        <w:ind w:firstLine="709"/>
        <w:jc w:val="both"/>
        <w:rPr>
          <w:color w:val="000000" w:themeColor="text1"/>
          <w:sz w:val="22"/>
          <w:szCs w:val="22"/>
        </w:rPr>
      </w:pPr>
      <w:r w:rsidRPr="00365E56">
        <w:rPr>
          <w:sz w:val="22"/>
          <w:szCs w:val="22"/>
        </w:rPr>
        <w:t xml:space="preserve">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 с положениями </w:t>
      </w:r>
      <w:r w:rsidRPr="00365E56">
        <w:rPr>
          <w:color w:val="000000" w:themeColor="text1"/>
          <w:sz w:val="22"/>
          <w:szCs w:val="22"/>
        </w:rPr>
        <w:t>Закона № 44-ФЗ.</w:t>
      </w:r>
    </w:p>
    <w:p w:rsidR="00751588" w:rsidRPr="00365E56">
      <w:pPr>
        <w:pStyle w:val="ConsPlusNormal"/>
        <w:ind w:firstLine="709"/>
        <w:jc w:val="both"/>
        <w:rPr>
          <w:sz w:val="22"/>
          <w:szCs w:val="22"/>
        </w:rPr>
      </w:pPr>
      <w:r w:rsidRPr="00365E56">
        <w:rPr>
          <w:sz w:val="22"/>
          <w:szCs w:val="22"/>
        </w:rPr>
        <w:t>К продуктам животного происхождения (далее – товар, продукция) 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w:t>
      </w:r>
      <w:r w:rsidRPr="00365E56">
        <w:rPr>
          <w:sz w:val="22"/>
          <w:szCs w:val="22"/>
        </w:rPr>
        <w:t xml:space="preserve">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 xml:space="preserve">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w:t>
      </w:r>
      <w:r w:rsidRPr="00365E56">
        <w:rPr>
          <w:sz w:val="22"/>
          <w:szCs w:val="22"/>
        </w:rPr>
        <w:br/>
        <w:t xml:space="preserve">и мясной продукции, оборудуются средствами, позволяющими соблюдать </w:t>
      </w:r>
      <w:r w:rsidRPr="00365E56">
        <w:rPr>
          <w:sz w:val="22"/>
          <w:szCs w:val="22"/>
        </w:rPr>
        <w:br/>
        <w:t xml:space="preserve">и регистрировать установленный температурный режим. При поставке продукции </w:t>
      </w:r>
      <w:r w:rsidRPr="00365E56">
        <w:rPr>
          <w:sz w:val="22"/>
          <w:szCs w:val="22"/>
        </w:rPr>
        <w:br/>
        <w:t>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